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2007/32 vom 9. Oktober 2007</w:t>
      </w:r>
    </w:p>
    <w:p>
      <w:r>
        <w:t>Sg Versicherungsgericht, 2007-10-09, DE</w:t>
      </w:r>
    </w:p>
    <w:p>
      <w:r>
        <w:rPr>
          <w:b/>
        </w:rPr>
        <w:t xml:space="preserve">Quelle: </w:t>
      </w:r>
      <w:r>
        <w:t>https://mcp.opencaselaw.ch/entscheid/sg_publikationen_UV 2007_32</w:t>
      </w:r>
    </w:p>
    <w:p>
      <w:r>
        <w:t>FR: SG_VERSICHERUNGSGERICHT UV 2007/32 du 9 octobre 2007</w:t>
      </w:r>
    </w:p>
    <w:p>
      <w:r>
        <w:t>IT: SG_VERSICHERUNGSGERICHT UV 2007/32 del 9 ottobre 2007</w:t>
      </w:r>
    </w:p>
    <w:p>
      <w:pPr>
        <w:pStyle w:val="Heading2"/>
      </w:pPr>
      <w:r>
        <w:t>Regeste</w:t>
      </w:r>
    </w:p>
    <w:p>
      <w:r>
        <w:t>Art. 50 UVG. Verrechnung von Forderung und Leistung innerhalb der Unfallversicherung. Die Verrechnung von zurückgeforderten Taggeldern mit der Integritätsentschädigung ist zulässig (Entscheid des Versicherungsgerichts des Kantons St. Gallen vom 9. Oktober 2007, UV 2007/32).</w:t>
      </w:r>
    </w:p>
    <w:p>
      <w:pPr>
        <w:pStyle w:val="Heading2"/>
      </w:pPr>
      <w:r>
        <w:t>Erwägungen</w:t>
      </w:r>
    </w:p>
    <w:p>
      <w:r>
        <w:rPr>
          <w:b/>
        </w:rPr>
        <w:t>E. 1</w:t>
      </w:r>
    </w:p>
    <w:p>
      <w:r>
        <w:t>Mit Urteil vom 7. April 2006 hat die Einzelrichterin des Versicherungsgerichts des Kantons St. Gallen entschieden, dass die zuviel ausbezahlte Arbeitslosenentschädigung von Fr. 8'501.-- nicht mit der Integritätsentschädigung, sondern mit der sachlich und zeitlich kongruenten Rentennachzahlung der Suva zu verrechnen war. Im vorliegenden Fall wird vom Beschwerdeführer nicht bestritten, dass eine Verrechnung zwischen den zurückgeforderten Taggeldern und dem Rentenguthaben zulässig ist. Streitig ist somit vorliegend, ob der verbleibende Restanspruch der Suva aus der Taggeldrückforderung von Fr. 12'051.-- mit der Integritätsentschädigung von Fr. 16'020.-- verrechnet werden darf, oder ob dem Beschwerdeführer die volle Integritätsentschädigung auszubezahlen ist.</w:t>
      </w:r>
    </w:p>
    <w:p>
      <w:r>
        <w:rPr>
          <w:b/>
        </w:rPr>
        <w:t>E. 2</w:t>
      </w:r>
    </w:p>
    <w:p>
      <w:r>
        <w:t>a) 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auch in jenen Zweigen, welche dies nicht ausdrücklich vorsehen; allerdings kennen die meisten Zweige der Sozialversicherung eine ausdrückliche Regelung. Wie im Privatrecht, ist auch im Verwaltungs- und insbesondere im Sozialversicherungsrecht eine Verrechnung nur möglich, wenn folgende grundsätzlichen Voraussetzungen erfüllt sind: Forderungen und Gegenforderungen, die verrechnet werden wollen, müssen zwischen den gleichen Rechtsträgern bestehen; die zur Verrechnung gebrachte Forderung muss fällig und rechtlich durchsetzbar sein (SZS 2002, S. 261, Erw. 2a mit Hinweisen). b) Im Bereich der Unfallversicherung wird die Frage der Verrechnung in Art. 50 UVG geregelt, wonach u.a. Forderungen aufgrund dieses Gesetzes mit fälligen Leistungen verrechnet werden können. Eine Verrechnung setzt voraus, dass Leistung und Forderung des Versicherers grundsätzlich die gleiche Person betreffen. Die Verrechnung setzt aber nicht voraus, dass Leistung und Forderung des Versicherers im gleichen Versicherungsfall wurzeln (ALFRED MAURER, Schweizerisches Unfallversicherungsrecht, 2. Aufl., Bern 1989, S. 448). Eine zeitliche Kongruenz der gegenseitigen Forderungen in dem Sinn, dass diese den gleichen Zeitraum beschlagen müssen, ist dabei nicht verlangt. Wesentlich für die Zulässigkeit der Verrechnung ist somit nicht, dass die Forderung und Gegenforderung im gleichen Zeitpunkt entstanden sind, sondern dass beide im Zeitpunkt der Verrechnung fällig sind (BGE 125 V 317 Erw. 4a). c) Unter Berücksichtigung von Art. 64 UVV darf der Versicherer nur unter angemessener Rücksichtnahme auf den Leistungsempfänger verrechnen, da die Versicherungsleistungen sonst ihren sozialen Zweck nicht erfüllen können (ALFRED MAURER, a.a.O., S. 450).</w:t>
      </w:r>
    </w:p>
    <w:p>
      <w:r>
        <w:rPr>
          <w:b/>
        </w:rPr>
        <w:t>E. 3</w:t>
      </w:r>
    </w:p>
    <w:p>
      <w:r>
        <w:t>Es steht fest und ist im Übrigen unbestritten geblieben, dass der Beschwerdeführer zuviel bezogene Taggelder der Suva zurückzuzahlen hat und demgegenüber einen Anspruch auf eine Integritätsentschädigung besitzt. Dementsprechend ist die Verrechnungsvoraussetzung, dass Leistung und Forderung des Versicherers grundsätzlich die gleiche Person betreffen müssen, zweifellos erfüllt. Der Anspruch auf Integritätsentschädigung entsteht bei der Berentung oder beim Abschluss der Behandlung. Allerdings ist eine Verrechnung erst möglich, wenn die Höhe der Integritätsentschädigung nach der verfügungsweisen Festsetzung feststeht. Spätestens in diesem Zeitpunkt wird der Anspruch durchsetzbar und damit fällig, weshalb es angemessen erscheint, die Integritätsentschädigung ab dem Zeitpunkt der Verfügung zur Verrechnung zuzulassen. Dabei ist es als zulässig anzusehen, die Verrechnungserklärung in die Verfügung über die Integritätsentschädigung aufzunehmen (THOMAS FREI, Die Integritätsentschädigung nach Art. 24 und 25 des Bundesgesetzes über die Unfallversicherung, Diss. Freiburg 1998, S. 76 f.). Mit Verfügung vom 24. August 2005 hat die Vorinstanz die Höhe der Integritätsentschädigung festgesetzt. Somit war die zur Verrechnung gebrachte Forderung ab dem Zeitpunkt der erlassenen Verfügung fällig und rechtlich durchsetzbar, wonach auch diese Verrechnungsvoraussetzung eindeutig erfüllt ist. Gemäss Art. 64 UVV hat der Versicherer bei der Verrechnung darauf zu achten, dass dem Versicherten die zum Leben notwendigen Mittel verbleiben. Da die Integritätsentschädigung nicht dem Unterhalt dienen muss, wird diese Bestimmung wohl nur in seltenen Fällen die Tilgung des Anspruchs auf eine Integritätsentschädigung durch Verrechnung untersagen (THOMAS FREI, a.a.O., S. 77). Da dem Beschwerdeführer nach erfolgter Verrechnung ein Restbetrag von Fr. 3'969.-- verbleibt und im Übrigen nichts derartiges geltend gemacht wird, rechtfertigt sich vorliegend die Annahme, Art. 64 UVV stehe einer Verrechnung nicht entgegen. Der Beschwerdeführer macht hauptsächlich geltend, die Integritätsentschädigung könne nicht zur Verrechnung gebracht werden, da die Entschädigung keinen Einkommensersatz darstelle und somit zwischen der Leistung und der Forderung keine Identität bestehe. Diesbezüglich sei festzuhalten, dass die Forderungen des Unfallversicherers, die zur Verrechnung gebracht werden können, sachlich dahingehend beschränkt sind, dass sie auf dem UVG, nicht aber zwingend auf dem gleichen Versicherungsfall wie die Leistung beruhen müssen (THOMAS FREI, a.a.O., S. 76). Wenn der Versicherer eine Leistung nach UVG schuldet und gleichzeitig eine Forderung gegenüber dem Bezugsberechtigten, ebenfalls nach UVG, besitzt, kann die Verrechnung erfolgen (ALFRED MAURER, a.a.O., S. 448). Sowohl die zurückgeforderten Taggelder als auch die Ausrichtung einer Integritätsentschädigung beruhen zweifellos auf dem UVG, weshalb die Verrechnung auch bezüglich dieser Voraussetzung zulässig ist. Die Verrechnung nach UVG sieht keine Gleichartigkeit der Leistung vor, sondern verlangt lediglich, dass Leistung und Forderung des Versicherers die gleiche Person betreffen, auf dem UVG beruhen und die Forderung und Gegenforderung im Zeitpunkt der Verrechnung fällig sind. Die Verrechnung der zurückgeforderten Taggelder mit der Integritätsentschädigung ist somit nicht zu beanstanden.</w:t>
      </w:r>
    </w:p>
    <w:p>
      <w:r>
        <w:rPr>
          <w:b/>
        </w:rPr>
        <w:t>E. 4</w:t>
      </w:r>
    </w:p>
    <w:p>
      <w:r>
        <w:t>Im Sinn der vorstehenden Erwägungen ist die Beschwerde unter Bestätigung des Einsprache-Entscheids vom 2. Februar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